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ind w:left="0" w:right="0" w:hanging="0"/>
        <w:jc w:val="left"/>
        <w:rPr>
          <w:sz w:val="12"/>
          <w:szCs w:val="12"/>
        </w:rPr>
      </w:pPr>
      <w:r>
        <w:rPr/>
        <w:drawing>
          <wp:inline distT="0" distB="0" distL="0" distR="0">
            <wp:extent cx="4089400" cy="471170"/>
            <wp:effectExtent l="0" t="0" r="0" b="0"/>
            <wp:docPr id="1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0" cy="471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г. Барнаул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27 ноября 2019 года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>Пресс-релиз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</w:r>
    </w:p>
    <w:p>
      <w:pPr>
        <w:pStyle w:val="Style22"/>
        <w:numPr>
          <w:ilvl w:val="0"/>
          <w:numId w:val="0"/>
        </w:numPr>
        <w:spacing w:lineRule="auto" w:line="240" w:before="0" w:after="0"/>
        <w:ind w:left="0" w:right="0" w:hanging="0"/>
        <w:jc w:val="center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32"/>
          <w:szCs w:val="32"/>
          <w:lang w:val="ru-RU"/>
        </w:rPr>
      </w:pPr>
      <w:r>
        <w:rPr>
          <w:rFonts w:cs="Times New Roman"/>
          <w:b w:val="false"/>
          <w:bCs w:val="false"/>
          <w:i w:val="false"/>
          <w:iCs w:val="false"/>
          <w:sz w:val="32"/>
          <w:szCs w:val="32"/>
          <w:lang w:val="ru-RU"/>
        </w:rPr>
        <w:t>А вы внесли контактные данные в реестр недвижимости?</w:t>
      </w:r>
    </w:p>
    <w:p>
      <w:pPr>
        <w:pStyle w:val="Style22"/>
        <w:spacing w:lineRule="auto" w:line="240" w:before="0" w:after="0"/>
        <w:jc w:val="center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cs="Times New Roman"/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firstLine="680"/>
        <w:jc w:val="both"/>
        <w:rPr/>
      </w:pPr>
      <w:r>
        <w:rPr>
          <w:rStyle w:val="Style19"/>
          <w:rFonts w:cs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В Федеральный закон «О государственной регистрации недвижимости» было добавлено новое </w:t>
      </w:r>
      <w:r>
        <w:fldChar w:fldCharType="begin"/>
      </w:r>
      <w:r>
        <w:rPr>
          <w:rStyle w:val="Style19"/>
          <w:smallCaps w:val="false"/>
          <w:caps w:val="false"/>
          <w:sz w:val="28"/>
          <w:spacing w:val="0"/>
          <w:i w:val="false"/>
          <w:u w:val="single"/>
          <w:b/>
          <w:szCs w:val="28"/>
          <w:rFonts w:cs="Times New Roman"/>
        </w:rPr>
        <w:instrText> HYPERLINK "http://www.consultant.ru/document/cons_doc_LAW_330707/3d0cac60971a511280cbba229d9b6329c07731f7/" \l "dst100019"</w:instrText>
      </w:r>
      <w:r>
        <w:rPr>
          <w:rStyle w:val="Style19"/>
          <w:smallCaps w:val="false"/>
          <w:caps w:val="false"/>
          <w:sz w:val="28"/>
          <w:spacing w:val="0"/>
          <w:i w:val="false"/>
          <w:u w:val="single"/>
          <w:b/>
          <w:szCs w:val="28"/>
          <w:rFonts w:cs="Times New Roman"/>
        </w:rPr>
        <w:fldChar w:fldCharType="separate"/>
      </w:r>
      <w:r>
        <w:rPr>
          <w:rStyle w:val="Style19"/>
          <w:rFonts w:cs="Times New Roman"/>
          <w:b/>
          <w:i w:val="false"/>
          <w:caps w:val="false"/>
          <w:smallCaps w:val="false"/>
          <w:color w:val="000000"/>
          <w:spacing w:val="0"/>
          <w:sz w:val="28"/>
          <w:szCs w:val="28"/>
          <w:u w:val="single"/>
        </w:rPr>
        <w:t>правило</w:t>
      </w:r>
      <w:r>
        <w:rPr>
          <w:rStyle w:val="Style19"/>
          <w:smallCaps w:val="false"/>
          <w:caps w:val="false"/>
          <w:sz w:val="28"/>
          <w:spacing w:val="0"/>
          <w:i w:val="false"/>
          <w:u w:val="single"/>
          <w:b/>
          <w:szCs w:val="28"/>
          <w:rFonts w:cs="Times New Roman"/>
        </w:rPr>
        <w:fldChar w:fldCharType="end"/>
      </w:r>
      <w:r>
        <w:rPr>
          <w:rStyle w:val="Style19"/>
          <w:rFonts w:cs="Times New Roman"/>
          <w:b/>
          <w:i w:val="false"/>
          <w:caps w:val="false"/>
          <w:smallCaps w:val="false"/>
          <w:color w:val="000000"/>
          <w:spacing w:val="0"/>
          <w:sz w:val="28"/>
          <w:szCs w:val="28"/>
          <w:u w:val="single"/>
        </w:rPr>
        <w:t>:</w:t>
      </w:r>
      <w:r>
        <w:rPr>
          <w:rStyle w:val="Style19"/>
          <w:rFonts w:cs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уведомление собственников о попытках проведения дистанционных сделок с недвижимостью с помощью электронной подписи. Для оперативного получения уведомлений Кадастровая палата Алтайского края рекомендует внести контактные данные в Единый государственный реестр недвижимости (ЕГРН).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firstLine="680"/>
        <w:jc w:val="both"/>
        <w:rPr/>
      </w:pPr>
      <w:r>
        <w:rPr>
          <w:rStyle w:val="Style19"/>
          <w:rFonts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У многих жителей Алтайского края есть недвижимость: квартира, дом, гараж, земельный участок и др. Все объекты, сведения о которых внесены в ЕГРН, по умолчанию защищены от действий, совершаемых в цифровом пространстве рынка недвижимости. Для осуществления сделок в электронном виде собственник должен в письменном виде выразить свое согласие, предоставив соответствующее заявление. 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firstLine="680"/>
        <w:jc w:val="both"/>
        <w:rPr/>
      </w:pPr>
      <w:r>
        <w:rPr>
          <w:rStyle w:val="Style19"/>
          <w:rFonts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 1 ноября 2019 года в России вступило в силу еще одно нововведение, которое регламентирует уведомление собственников о поступлении заверенных электронных документов на прекращение права.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firstLine="680"/>
        <w:jc w:val="both"/>
        <w:rPr/>
      </w:pPr>
      <w:r>
        <w:rPr>
          <w:rFonts w:cs="Times New Roman"/>
          <w:sz w:val="28"/>
          <w:szCs w:val="28"/>
        </w:rPr>
        <w:t>Таким образом, если в ЕГРН содержится адрес электронной почты или почтовый адрес собственника, то при поступлении электронных документов орган регистрации прав направит уведомление об этом в тот же день.</w:t>
      </w:r>
      <w:r>
        <w:rPr>
          <w:rStyle w:val="Style19"/>
          <w:rFonts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Это важное  нововведение, которое позволяет собственнику узнать о попытке третьих лиц осуществить сделку без его участия.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firstLine="680"/>
        <w:jc w:val="both"/>
        <w:rPr/>
      </w:pPr>
      <w:r>
        <w:rPr>
          <w:rStyle w:val="Style19"/>
          <w:rFonts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В тоже время не все собственники стремятся обезопасить свою недвижимость и сообщить адрес электронной почты, или актуализировать почтовый адрес. Согласно статистическим данным за 2019 год только в 6% заявлений о государственной регистрации прав и кадастровом учете, поданных на территории Алтайского края, был указан адрес электронный почты правообладателя. </w:t>
      </w:r>
      <w:r>
        <w:rPr>
          <w:rStyle w:val="Style19"/>
          <w:rFonts w:cs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«Многие собственники часто говорят - зачем я должен сообщать адрес своей электронки и какая мне польза от того, если она будет внесена в ЕГРН? При этом они упускают ряд преимуществ, которые предоставляют современные технологии»</w:t>
      </w:r>
      <w:r>
        <w:rPr>
          <w:rStyle w:val="Style19"/>
          <w:rFonts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, - </w:t>
      </w:r>
      <w:r>
        <w:rPr>
          <w:rStyle w:val="Style19"/>
          <w:rFonts w:cs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рассказывает заместитель директора Кадастровой палаты Ольга Мазурова</w:t>
      </w:r>
      <w:r>
        <w:rPr>
          <w:rStyle w:val="Style19"/>
          <w:rFonts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. 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firstLine="680"/>
        <w:jc w:val="both"/>
        <w:rPr/>
      </w:pPr>
      <w:r>
        <w:rPr>
          <w:rStyle w:val="Style19"/>
          <w:rFonts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Во-первых, собственник получает извещения о проведении юридически значимых действий в отношении принадлежащей ему  недвижимости. Например, сведения о проведении собрания для согласовании местоположения границ земельного участка, об установлении территориальной зоны, сервитута, наложении ареста на недвижимость, поступлении документов для проведения  сделки с недвижимостью с использованием электронной подписи и др.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firstLine="680"/>
        <w:jc w:val="both"/>
        <w:rPr/>
      </w:pPr>
      <w:r>
        <w:rPr>
          <w:rStyle w:val="Style19"/>
          <w:rFonts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Во-вторых, собственник будет проинформирован об осуществлении Росреестром любого действия в отношении объекта недвижимости (исправления технической или реестровой ошибки и пр.).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firstLine="680"/>
        <w:jc w:val="both"/>
        <w:rPr/>
      </w:pPr>
      <w:r>
        <w:rPr>
          <w:rStyle w:val="Style19"/>
          <w:rFonts w:cs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«Как видите, польза от внесения в сведения Росреестра своего почтового или электронного адреса огромная! В этом случае собственник не находится в информационном вакууме касаемо своей недвижимости, он всегда будет в курсе  всех прямых или косвенных действий в отношении нее»</w:t>
      </w:r>
      <w:r>
        <w:rPr>
          <w:rStyle w:val="Style19"/>
          <w:rFonts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, - </w:t>
      </w:r>
      <w:r>
        <w:rPr>
          <w:rStyle w:val="Style19"/>
          <w:rFonts w:cs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отмечает эксперт</w:t>
      </w:r>
      <w:r>
        <w:rPr>
          <w:rStyle w:val="Style19"/>
          <w:rFonts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.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firstLine="680"/>
        <w:jc w:val="both"/>
        <w:rPr/>
      </w:pPr>
      <w:r>
        <w:rPr>
          <w:rFonts w:cs="Times New Roman"/>
          <w:sz w:val="28"/>
          <w:szCs w:val="28"/>
        </w:rPr>
        <w:t>Для того, чтобы адрес электронной почты попал в реестр недвижимости, его необходимо указать в заявлении о государственном кадастровом учете и (или) государственной регистрации прав на недвижимое имущество. Также, сообщить адрес своей электронной почты можно и отдельным заявлением о внесении изменений в записи ЕГРН. Правда при этом придется оплатить государственную пошлину в 350 рублей. Поэтому Кадастровая палата рекомендует указывать свои данные сразу при подаче заявления о кадастровом учете и регистрации прав. Это сократит и время, и расходы.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firstLine="680"/>
        <w:jc w:val="both"/>
        <w:rPr/>
      </w:pPr>
      <w:r>
        <w:rPr>
          <w:rFonts w:cs="Times New Roman"/>
          <w:i/>
          <w:iCs/>
          <w:sz w:val="28"/>
          <w:szCs w:val="28"/>
        </w:rPr>
        <w:t>«Стоит отметить, что контакты владельца могут быть использованы только для официальных уведомлений. Это конфиденциальная информация и она не предоставляется по запросу других лиц»</w:t>
      </w:r>
      <w:r>
        <w:rPr>
          <w:rFonts w:cs="Times New Roman"/>
          <w:sz w:val="28"/>
          <w:szCs w:val="28"/>
        </w:rPr>
        <w:t xml:space="preserve">, -  подытожила </w:t>
      </w:r>
      <w:r>
        <w:rPr>
          <w:rFonts w:cs="Times New Roman"/>
          <w:b/>
          <w:bCs/>
          <w:sz w:val="28"/>
          <w:szCs w:val="28"/>
        </w:rPr>
        <w:t>Ольга Мазурова</w:t>
      </w:r>
      <w:r>
        <w:rPr>
          <w:rFonts w:cs="Times New Roman"/>
          <w:sz w:val="28"/>
          <w:szCs w:val="28"/>
        </w:rPr>
        <w:t>.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Напомним, в августе 2019 года вступили в силу изменения в Закон о регистрации, согласно которым запрещаются электронные сделки с недвижимостью без письменного разрешения владельца. Поправки были приняты после резонансного случая с мошенничеством в сфере электронных сделок с недвижимостью. Теперь, чтобы собственнику в электронном виде подать заявление о переходе права в связи с продажей, дарением или обменом квартиры, дома, участка или гаража, требуется предварительно уведомить Росреестр о согласии на проведение сделок с использованием электронной подписи. Без этого разрешения электронные документы будут автоматически отклонены. Отметка о разрешении на проведение электронных операций с недвижимостью вносится в ЕГРН в течение пяти рабочих дней.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firstLine="680"/>
        <w:jc w:val="both"/>
        <w:rPr/>
      </w:pPr>
      <w:r>
        <w:rPr>
          <w:sz w:val="28"/>
          <w:szCs w:val="28"/>
        </w:rPr>
        <w:t>В то же время есть в нововведениях и исключения: в случаях, если используемая при оформлении сделок с недвижимостью ЭЦП выдана удостоверяющим центром Федеральной кадастровой палаты, если сделка проводится с участием нотариусов, органов власти или кредитных организаций, наличие особой отметки в ЕГРН не обязательно.</w:t>
      </w:r>
      <w:r>
        <w:rPr>
          <w:rFonts w:cs="Times New Roman"/>
          <w:b w:val="false"/>
          <w:bCs w:val="false"/>
          <w:i w:val="false"/>
          <w:iCs w:val="false"/>
          <w:sz w:val="28"/>
          <w:szCs w:val="28"/>
        </w:rPr>
        <w:t xml:space="preserve"> Правило уведомления о возможности электронных сделок также не касается объектов недвижимости, принадлежащих юридическим лицам, т.е. действительно только для граждан.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firstLine="68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cs="Times New Roman"/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Style w:val="Style12"/>
          <w:rFonts w:cs="Times New Roman"/>
          <w:i/>
          <w:iCs/>
          <w:color w:val="000000"/>
          <w:sz w:val="28"/>
          <w:szCs w:val="28"/>
          <w:highlight w:val="white"/>
          <w:u w:val="none"/>
          <w:lang w:val="ru-RU" w:eastAsia="ru-RU"/>
        </w:rPr>
        <w:t>Пресс-служба Кадастровой палаты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Style w:val="Style12"/>
          <w:rFonts w:cs="Times New Roman"/>
          <w:i/>
          <w:iCs/>
          <w:color w:val="000000"/>
          <w:sz w:val="28"/>
          <w:szCs w:val="28"/>
          <w:highlight w:val="white"/>
          <w:u w:val="none"/>
          <w:lang w:val="ru-RU" w:eastAsia="ru-RU"/>
        </w:rPr>
        <w:t>по Алтайскому краю,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Style w:val="Style12"/>
          <w:rFonts w:cs="Times New Roman"/>
          <w:i/>
          <w:iCs/>
          <w:color w:val="000000"/>
          <w:sz w:val="28"/>
          <w:szCs w:val="28"/>
          <w:highlight w:val="white"/>
          <w:u w:val="none"/>
          <w:lang w:val="ru-RU" w:eastAsia="ru-RU"/>
        </w:rPr>
        <w:t>тел. 557659, доб. 7091, 7092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Style w:val="Style12"/>
          <w:rFonts w:cs="Times New Roman"/>
          <w:b w:val="false"/>
          <w:bCs w:val="false"/>
          <w:i/>
          <w:iCs/>
          <w:color w:val="000000"/>
          <w:sz w:val="28"/>
          <w:szCs w:val="28"/>
          <w:highlight w:val="white"/>
          <w:u w:val="none"/>
          <w:lang w:val="ru-RU" w:eastAsia="ru-RU"/>
        </w:rPr>
        <w:t>адрес электронной почты: press@22.kadastr.ru</w:t>
      </w:r>
    </w:p>
    <w:sectPr>
      <w:footerReference w:type="default" r:id="rId3"/>
      <w:type w:val="nextPage"/>
      <w:pgSz w:w="11906" w:h="16838"/>
      <w:pgMar w:left="1134" w:right="567" w:header="0" w:top="720" w:footer="354" w:bottom="8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erif">
    <w:altName w:val="Times New Roman"/>
    <w:charset w:val="01"/>
    <w:family w:val="roman"/>
    <w:pitch w:val="default"/>
  </w:font>
  <w:font w:name="Times New Roman">
    <w:charset w:val="01"/>
    <w:family w:val="roman"/>
    <w:pitch w:val="default"/>
  </w:font>
  <w:font w:name="Courier New">
    <w:charset w:val="01"/>
    <w:family w:val="roman"/>
    <w:pitch w:val="default"/>
  </w:font>
  <w:font w:name="Tahoma">
    <w:charset w:val="01"/>
    <w:family w:val="roman"/>
    <w:pitch w:val="default"/>
  </w:font>
  <w:font w:name="Calibri">
    <w:charset w:val="01"/>
    <w:family w:val="roman"/>
    <w:pitch w:val="default"/>
  </w:font>
  <w:font w:name="Arial">
    <w:charset w:val="01"/>
    <w:family w:val="roman"/>
    <w:pitch w:val="default"/>
  </w:font>
  <w:font w:name="Arial CYR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rPr>
        <w:sz w:val="16"/>
        <w:szCs w:val="16"/>
      </w:rPr>
    </w:pPr>
    <w:r>
      <w:rPr/>
    </w:r>
  </w:p>
</w:ftr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1">
    <w:name w:val="Heading 1"/>
    <w:basedOn w:val="Style21"/>
    <w:qFormat/>
    <w:pPr>
      <w:ind w:left="0" w:right="0" w:hanging="0"/>
      <w:outlineLvl w:val="0"/>
    </w:pPr>
    <w:rPr/>
  </w:style>
  <w:style w:type="paragraph" w:styleId="2">
    <w:name w:val="Heading 2"/>
    <w:basedOn w:val="Style21"/>
    <w:qFormat/>
    <w:pPr>
      <w:ind w:left="0" w:right="0" w:hanging="0"/>
      <w:outlineLvl w:val="1"/>
    </w:pPr>
    <w:rPr/>
  </w:style>
  <w:style w:type="paragraph" w:styleId="3">
    <w:name w:val="Heading 3"/>
    <w:basedOn w:val="Style21"/>
    <w:qFormat/>
    <w:pPr>
      <w:ind w:left="0" w:right="0" w:hanging="0"/>
      <w:outlineLvl w:val="2"/>
    </w:pPr>
    <w:rPr/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DefaultParagraphFont">
    <w:name w:val="Default Paragraph Font"/>
    <w:qFormat/>
    <w:rPr/>
  </w:style>
  <w:style w:type="character" w:styleId="ConsNonformat">
    <w:name w:val="ConsNonformat Знак"/>
    <w:qFormat/>
    <w:rPr>
      <w:rFonts w:ascii="Courier New" w:hAnsi="Courier New" w:cs="Courier New"/>
      <w:sz w:val="26"/>
      <w:szCs w:val="26"/>
      <w:lang w:val="ru-RU" w:eastAsia="ru-RU" w:bidi="ar-SA"/>
    </w:rPr>
  </w:style>
  <w:style w:type="character" w:styleId="5">
    <w:name w:val="Основной текст (5)_"/>
    <w:qFormat/>
    <w:rPr>
      <w:b/>
      <w:bCs/>
      <w:spacing w:val="2"/>
      <w:sz w:val="24"/>
      <w:szCs w:val="24"/>
      <w:lang w:bidi="ar-SA"/>
    </w:rPr>
  </w:style>
  <w:style w:type="character" w:styleId="4">
    <w:name w:val="Основной текст (4)_"/>
    <w:qFormat/>
    <w:rPr>
      <w:b/>
      <w:bCs/>
      <w:sz w:val="24"/>
      <w:szCs w:val="24"/>
      <w:lang w:bidi="ar-SA"/>
    </w:rPr>
  </w:style>
  <w:style w:type="character" w:styleId="Style11">
    <w:name w:val="Выделение"/>
    <w:qFormat/>
    <w:rPr>
      <w:rFonts w:cs="Times New Roman"/>
      <w:i/>
      <w:iCs/>
    </w:rPr>
  </w:style>
  <w:style w:type="character" w:styleId="Style12">
    <w:name w:val="Интернет-ссылка"/>
    <w:rPr>
      <w:color w:val="0000FF"/>
      <w:u w:val="single"/>
    </w:rPr>
  </w:style>
  <w:style w:type="character" w:styleId="Style13">
    <w:name w:val="Нижний колонтитул Знак"/>
    <w:qFormat/>
    <w:rPr>
      <w:sz w:val="24"/>
      <w:szCs w:val="24"/>
      <w:lang w:val="ru-RU" w:eastAsia="ru-RU" w:bidi="ar-SA"/>
    </w:rPr>
  </w:style>
  <w:style w:type="character" w:styleId="Style14">
    <w:name w:val="Верхний колонтитул Знак"/>
    <w:qFormat/>
    <w:rPr>
      <w:sz w:val="24"/>
      <w:szCs w:val="24"/>
    </w:rPr>
  </w:style>
  <w:style w:type="character" w:styleId="Style15">
    <w:name w:val="Текст выноски Знак"/>
    <w:qFormat/>
    <w:rPr>
      <w:rFonts w:ascii="Tahoma" w:hAnsi="Tahoma" w:cs="Tahoma"/>
      <w:sz w:val="16"/>
      <w:szCs w:val="16"/>
    </w:rPr>
  </w:style>
  <w:style w:type="character" w:styleId="Appleconvertedspace">
    <w:name w:val="apple-converted-space"/>
    <w:basedOn w:val="DefaultParagraphFont"/>
    <w:qFormat/>
    <w:rPr/>
  </w:style>
  <w:style w:type="character" w:styleId="Style16">
    <w:name w:val="Текст сноски Знак"/>
    <w:basedOn w:val="DefaultParagraphFont"/>
    <w:qFormat/>
    <w:rPr>
      <w:rFonts w:ascii="Calibri" w:hAnsi="Calibri" w:eastAsia="Calibri" w:cs="Times New Roman"/>
      <w:lang w:eastAsia="en-US"/>
    </w:rPr>
  </w:style>
  <w:style w:type="character" w:styleId="Style17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qFormat/>
    <w:rPr>
      <w:vertAlign w:val="superscript"/>
    </w:rPr>
  </w:style>
  <w:style w:type="character" w:styleId="Applestylespan">
    <w:name w:val="apple-style-span"/>
    <w:basedOn w:val="DefaultParagraphFont"/>
    <w:qFormat/>
    <w:rPr/>
  </w:style>
  <w:style w:type="character" w:styleId="Strong">
    <w:name w:val="Strong"/>
    <w:basedOn w:val="DefaultParagraphFont"/>
    <w:qFormat/>
    <w:rPr>
      <w:b/>
      <w:bCs/>
    </w:rPr>
  </w:style>
  <w:style w:type="character" w:styleId="8">
    <w:name w:val="Основной текст (8)"/>
    <w:qFormat/>
    <w:rPr>
      <w:spacing w:val="4"/>
      <w:sz w:val="28"/>
      <w:u w:val="single"/>
    </w:rPr>
  </w:style>
  <w:style w:type="character" w:styleId="ListLabel1">
    <w:name w:val="ListLabel 1"/>
    <w:qFormat/>
    <w:rPr>
      <w:sz w:val="20"/>
    </w:rPr>
  </w:style>
  <w:style w:type="character" w:styleId="Style18">
    <w:name w:val="Посещённая гиперссылка"/>
    <w:rPr>
      <w:color w:val="800000"/>
      <w:u w:val="single"/>
    </w:rPr>
  </w:style>
  <w:style w:type="character" w:styleId="ListLabel5">
    <w:name w:val="ListLabel 5"/>
    <w:qFormat/>
    <w:rPr>
      <w:rFonts w:ascii="Times New Roman" w:hAnsi="Times New Roman" w:cs="Times New Roman"/>
      <w:i w:val="false"/>
      <w:sz w:val="28"/>
    </w:rPr>
  </w:style>
  <w:style w:type="character" w:styleId="Style19">
    <w:name w:val="Выделение жирным"/>
    <w:qFormat/>
    <w:rPr>
      <w:b/>
      <w:bCs/>
    </w:rPr>
  </w:style>
  <w:style w:type="character" w:styleId="Style20">
    <w:name w:val="Символ нумерации"/>
    <w:qFormat/>
    <w:rPr/>
  </w:style>
  <w:style w:type="character" w:styleId="ListLabel6">
    <w:name w:val="ListLabel 6"/>
    <w:qFormat/>
    <w:rPr>
      <w:rFonts w:cs="Times New Roman"/>
      <w:b/>
      <w:i w:val="false"/>
      <w:caps w:val="false"/>
      <w:smallCaps w:val="false"/>
      <w:color w:val="000000"/>
      <w:spacing w:val="0"/>
      <w:sz w:val="28"/>
      <w:szCs w:val="28"/>
      <w:u w:val="single"/>
    </w:rPr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eastAsia="Microsoft YaHei" w:cs="Mangal"/>
      <w:sz w:val="28"/>
      <w:szCs w:val="28"/>
    </w:rPr>
  </w:style>
  <w:style w:type="paragraph" w:styleId="Style22">
    <w:name w:val="Body Text"/>
    <w:basedOn w:val="Normal"/>
    <w:pPr>
      <w:spacing w:lineRule="auto" w:line="288" w:before="0" w:after="140"/>
    </w:pPr>
    <w:rPr/>
  </w:style>
  <w:style w:type="paragraph" w:styleId="Style23">
    <w:name w:val="List"/>
    <w:basedOn w:val="Style22"/>
    <w:pPr/>
    <w:rPr>
      <w:rFonts w:cs="Mangal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ascii="Times New Roman" w:hAnsi="Times New Roman" w:cs="Mangal"/>
    </w:rPr>
  </w:style>
  <w:style w:type="paragraph" w:styleId="Style26">
    <w:name w:val="Title"/>
    <w:basedOn w:val="Style21"/>
    <w:qFormat/>
    <w:pPr/>
    <w:rPr/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ConsNonformat1">
    <w:name w:val="ConsNonformat"/>
    <w:qFormat/>
    <w:pPr>
      <w:widowControl w:val="false"/>
      <w:suppressAutoHyphens w:val="true"/>
      <w:overflowPunct w:val="true"/>
      <w:bidi w:val="0"/>
      <w:jc w:val="left"/>
    </w:pPr>
    <w:rPr>
      <w:rFonts w:ascii="Courier New" w:hAnsi="Courier New" w:eastAsia="Times New Roman" w:cs="Courier New"/>
      <w:color w:val="00000A"/>
      <w:kern w:val="0"/>
      <w:sz w:val="26"/>
      <w:szCs w:val="26"/>
      <w:lang w:val="ru-RU" w:eastAsia="ru-RU" w:bidi="ar-SA"/>
    </w:rPr>
  </w:style>
  <w:style w:type="paragraph" w:styleId="ConsPlusNormal">
    <w:name w:val="ConsPlusNormal"/>
    <w:qFormat/>
    <w:pPr>
      <w:widowControl w:val="false"/>
      <w:suppressAutoHyphens w:val="true"/>
      <w:overflowPunct w:val="true"/>
      <w:bidi w:val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4"/>
      <w:szCs w:val="20"/>
      <w:lang w:val="ru-RU" w:eastAsia="ru-RU" w:bidi="ar-SA"/>
    </w:rPr>
  </w:style>
  <w:style w:type="paragraph" w:styleId="51">
    <w:name w:val="Основной текст (5)"/>
    <w:basedOn w:val="Normal"/>
    <w:qFormat/>
    <w:pPr>
      <w:shd w:val="clear" w:fill="FFFFFF"/>
      <w:spacing w:lineRule="atLeast" w:line="240" w:before="1680" w:after="60"/>
    </w:pPr>
    <w:rPr>
      <w:b/>
      <w:bCs/>
      <w:spacing w:val="2"/>
    </w:rPr>
  </w:style>
  <w:style w:type="paragraph" w:styleId="41">
    <w:name w:val="Основной текст (4)"/>
    <w:basedOn w:val="Normal"/>
    <w:qFormat/>
    <w:pPr>
      <w:shd w:val="clear" w:fill="FFFFFF"/>
      <w:spacing w:lineRule="exact" w:line="302"/>
      <w:jc w:val="right"/>
    </w:pPr>
    <w:rPr>
      <w:b/>
      <w:bCs/>
    </w:rPr>
  </w:style>
  <w:style w:type="paragraph" w:styleId="Style27">
    <w:name w:val="Foot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ConsPlusTitle">
    <w:name w:val="ConsPlusTitle"/>
    <w:qFormat/>
    <w:pPr>
      <w:widowControl w:val="false"/>
      <w:suppressAutoHyphens w:val="true"/>
      <w:overflowPunct w:val="true"/>
      <w:bidi w:val="0"/>
      <w:jc w:val="left"/>
    </w:pPr>
    <w:rPr>
      <w:rFonts w:ascii="Arial CYR" w:hAnsi="Arial CYR" w:eastAsia="Times New Roman" w:cs="Arial CYR"/>
      <w:b/>
      <w:bCs/>
      <w:color w:val="00000A"/>
      <w:kern w:val="0"/>
      <w:sz w:val="24"/>
      <w:szCs w:val="20"/>
      <w:lang w:val="ru-RU" w:eastAsia="ru-RU" w:bidi="ar-SA"/>
    </w:rPr>
  </w:style>
  <w:style w:type="paragraph" w:styleId="Style28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ListParagraph">
    <w:name w:val="List Paragraph"/>
    <w:basedOn w:val="Normal"/>
    <w:qFormat/>
    <w:pPr>
      <w:spacing w:lineRule="auto" w:line="276" w:before="0" w:after="200"/>
      <w:ind w:left="720" w:right="0" w:hanging="0"/>
      <w:contextualSpacing/>
    </w:pPr>
    <w:rPr>
      <w:rFonts w:ascii="Calibri" w:hAnsi="Calibri" w:eastAsia="Times New Roman" w:cs="Times New Roman"/>
      <w:sz w:val="22"/>
      <w:szCs w:val="22"/>
    </w:rPr>
  </w:style>
  <w:style w:type="paragraph" w:styleId="Style29">
    <w:name w:val="Footnote Text"/>
    <w:basedOn w:val="Normal"/>
    <w:qFormat/>
    <w:pPr/>
    <w:rPr>
      <w:rFonts w:ascii="Calibri" w:hAnsi="Calibri" w:eastAsia="Calibri" w:cs="Times New Roman"/>
      <w:sz w:val="20"/>
      <w:szCs w:val="20"/>
      <w:lang w:eastAsia="en-US"/>
    </w:rPr>
  </w:style>
  <w:style w:type="paragraph" w:styleId="Default">
    <w:name w:val="Default"/>
    <w:qFormat/>
    <w:pPr>
      <w:widowControl/>
      <w:suppressAutoHyphens w:val="true"/>
      <w:overflowPunct w:val="true"/>
      <w:bidi w:val="0"/>
      <w:jc w:val="left"/>
    </w:pPr>
    <w:rPr>
      <w:rFonts w:ascii="Arial" w:hAnsi="Arial" w:eastAsia="Calibri" w:cs="Arial"/>
      <w:color w:val="000000"/>
      <w:kern w:val="0"/>
      <w:sz w:val="24"/>
      <w:szCs w:val="24"/>
      <w:lang w:val="ru-RU" w:eastAsia="en-US" w:bidi="ar-SA"/>
    </w:rPr>
  </w:style>
  <w:style w:type="paragraph" w:styleId="Rtejustify">
    <w:name w:val="rtejustify"/>
    <w:basedOn w:val="Normal"/>
    <w:qFormat/>
    <w:pPr>
      <w:spacing w:before="0" w:after="288"/>
      <w:jc w:val="both"/>
    </w:pPr>
    <w:rPr>
      <w:lang w:eastAsia="ar-SA"/>
    </w:rPr>
  </w:style>
  <w:style w:type="paragraph" w:styleId="Style30">
    <w:name w:val="Цитата"/>
    <w:basedOn w:val="Normal"/>
    <w:qFormat/>
    <w:pPr/>
    <w:rPr/>
  </w:style>
  <w:style w:type="paragraph" w:styleId="Style31">
    <w:name w:val="Subtitle"/>
    <w:basedOn w:val="Style21"/>
    <w:qFormat/>
    <w:pPr/>
    <w:rPr/>
  </w:style>
  <w:style w:type="paragraph" w:styleId="Style32">
    <w:name w:val="Содержимое таблицы"/>
    <w:basedOn w:val="Normal"/>
    <w:qFormat/>
    <w:pPr/>
    <w:rPr/>
  </w:style>
  <w:style w:type="paragraph" w:styleId="31">
    <w:name w:val="Основной текст3"/>
    <w:basedOn w:val="Normal"/>
    <w:qFormat/>
    <w:pPr>
      <w:spacing w:lineRule="exact" w:line="322"/>
      <w:ind w:left="0" w:right="0" w:hanging="0"/>
    </w:pPr>
    <w:rPr/>
  </w:style>
  <w:style w:type="paragraph" w:styleId="Western">
    <w:name w:val="western"/>
    <w:basedOn w:val="Normal"/>
    <w:qFormat/>
    <w:pPr>
      <w:suppressAutoHyphens w:val="false"/>
      <w:spacing w:lineRule="auto" w:line="288" w:before="280" w:after="142"/>
    </w:pPr>
    <w:rPr>
      <w:lang w:eastAsia="zh-CN"/>
    </w:rPr>
  </w:style>
  <w:style w:type="paragraph" w:styleId="Style33">
    <w:name w:val="Заголовок таблицы"/>
    <w:basedOn w:val="Style32"/>
    <w:qFormat/>
    <w:pPr>
      <w:suppressLineNumbers/>
      <w:jc w:val="center"/>
    </w:pPr>
    <w:rPr>
      <w:b/>
      <w:bCs/>
    </w:rPr>
  </w:style>
  <w:style w:type="paragraph" w:styleId="Style34">
    <w:name w:val="Блочная цитата"/>
    <w:basedOn w:val="Normal"/>
    <w:qFormat/>
    <w:pPr>
      <w:spacing w:before="0" w:after="283"/>
      <w:ind w:left="567" w:right="567" w:hanging="0"/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Application>LibreOffice/6.0.2.1$Windows_X86_64 LibreOffice_project/f7f06a8f319e4b62f9bc5095aa112a65d2f3ac89</Application>
  <Pages>2</Pages>
  <Words>654</Words>
  <Characters>4378</Characters>
  <CharactersWithSpaces>5019</CharactersWithSpaces>
  <Paragraphs>21</Paragraphs>
  <Company>Организация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2016-03-23T07:04:00Z</dcterms:created>
  <dc:creator>tmy</dc:creator>
  <dc:description/>
  <dc:language>ru-RU</dc:language>
  <cp:lastModifiedBy/>
  <cp:lastPrinted>2019-11-19T12:56:00Z</cp:lastPrinted>
  <dcterms:modified xsi:type="dcterms:W3CDTF">2019-11-28T15:18:05Z</dcterms:modified>
  <cp:revision>226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Организация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